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D4" w:rsidRPr="00A635D4" w:rsidRDefault="00A635D4" w:rsidP="00A63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35D4">
        <w:rPr>
          <w:rFonts w:ascii="Times New Roman" w:hAnsi="Times New Roman" w:cs="Times New Roman"/>
          <w:b/>
          <w:sz w:val="24"/>
          <w:szCs w:val="24"/>
        </w:rPr>
        <w:t xml:space="preserve">Kumpulan Data yang </w:t>
      </w: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belum</w:t>
      </w:r>
      <w:proofErr w:type="spellEnd"/>
      <w:r w:rsidRPr="00A6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terintegrasikan</w:t>
      </w:r>
      <w:proofErr w:type="spellEnd"/>
      <w:r w:rsidRPr="00A6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A6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tulisan</w:t>
      </w:r>
      <w:proofErr w:type="spellEnd"/>
    </w:p>
    <w:p w:rsidR="00A635D4" w:rsidRPr="00A635D4" w:rsidRDefault="00A635D4" w:rsidP="00A635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Demografi</w:t>
      </w:r>
      <w:proofErr w:type="spellEnd"/>
      <w:r w:rsidRPr="00A6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Afdeeling</w:t>
      </w:r>
      <w:proofErr w:type="spellEnd"/>
      <w:r w:rsidRPr="00A6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35D4">
        <w:rPr>
          <w:rFonts w:ascii="Times New Roman" w:hAnsi="Times New Roman" w:cs="Times New Roman"/>
          <w:b/>
          <w:sz w:val="24"/>
          <w:szCs w:val="24"/>
        </w:rPr>
        <w:t>Modjokerto</w:t>
      </w:r>
      <w:proofErr w:type="spellEnd"/>
    </w:p>
    <w:p w:rsidR="00730A04" w:rsidRDefault="00A635D4" w:rsidP="00730A04">
      <w:pPr>
        <w:tabs>
          <w:tab w:val="left" w:pos="284"/>
        </w:tabs>
        <w:spacing w:after="0" w:line="360" w:lineRule="auto"/>
        <w:ind w:left="1080" w:firstLine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proofErr w:type="gram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Menilik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mengenai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arus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banyak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berdatangan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semasa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musim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kemarau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ketika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banyak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lahan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dibiarkan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digarap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musim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banyak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berdatangan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menempati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pekerjaan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pengemas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gula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karungan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upah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ditawarkan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sekisar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Pr="00A635D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f</w:t>
      </w:r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 0</w:t>
      </w:r>
      <w:proofErr w:type="gram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,40</w:t>
      </w:r>
      <w:proofErr w:type="gram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per/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hari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Margana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dkk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2010:195).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Musim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kemarau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juga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menandai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peningkatan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akan</w:t>
      </w:r>
      <w:proofErr w:type="spellEnd"/>
      <w:proofErr w:type="gram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kebutuhan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tenaga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kerja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Jawa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khususnya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sentra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perkebunan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tebu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kebutuhan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akan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tenaga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kerja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besar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 </w:t>
      </w:r>
      <w:proofErr w:type="spellStart"/>
      <w:proofErr w:type="gram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saat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musim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penghujan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tiba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tanaman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sedang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tumbuh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Kedatangan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para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juga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dipicu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akibat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petani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lokal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menyerahkan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lahan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digarap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cara</w:t>
      </w:r>
      <w:proofErr w:type="spellEnd"/>
      <w:proofErr w:type="gram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bagi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hasil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Adapun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faktor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bagi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hasil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antara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lain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yakni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akibat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kurangnya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modal,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tersedianya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buruh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tani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adanya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biaya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pengawasan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teknologi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rendah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adanya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piutang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Scheltema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, 1985</w:t>
      </w:r>
      <w:proofErr w:type="gram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:xv</w:t>
      </w:r>
      <w:proofErr w:type="gram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-xviii). </w:t>
      </w:r>
    </w:p>
    <w:p w:rsidR="00A635D4" w:rsidRPr="00730A04" w:rsidRDefault="00A635D4" w:rsidP="00730A04">
      <w:pPr>
        <w:tabs>
          <w:tab w:val="left" w:pos="284"/>
        </w:tabs>
        <w:spacing w:after="0" w:line="360" w:lineRule="auto"/>
        <w:ind w:left="1080" w:firstLine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Mengenai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prosentase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demografi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penduduk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730A0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Afdeeling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Modjokerto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1920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1930</w:t>
      </w:r>
      <w:r w:rsidRPr="00A635D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diketahui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berdasarkan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tabel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berikut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lihat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tabel</w:t>
      </w:r>
      <w:proofErr w:type="spellEnd"/>
      <w:r w:rsidRPr="00730A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7).</w:t>
      </w:r>
    </w:p>
    <w:p w:rsidR="00A635D4" w:rsidRDefault="00A635D4" w:rsidP="00730A04">
      <w:pPr>
        <w:pStyle w:val="ListParagraph"/>
        <w:tabs>
          <w:tab w:val="left" w:pos="284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730A04" w:rsidRDefault="00730A04" w:rsidP="00730A04">
      <w:pPr>
        <w:pStyle w:val="ListParagraph"/>
        <w:tabs>
          <w:tab w:val="left" w:pos="284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730A04" w:rsidRPr="00A635D4" w:rsidRDefault="00730A04" w:rsidP="00730A04">
      <w:pPr>
        <w:pStyle w:val="ListParagraph"/>
        <w:tabs>
          <w:tab w:val="left" w:pos="284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A635D4" w:rsidRPr="00A635D4" w:rsidRDefault="00A635D4" w:rsidP="00730A04">
      <w:pPr>
        <w:pStyle w:val="Caption"/>
        <w:spacing w:after="0"/>
        <w:ind w:left="1440"/>
        <w:rPr>
          <w:rFonts w:ascii="Times New Roman" w:hAnsi="Times New Roman"/>
          <w:i w:val="0"/>
          <w:sz w:val="24"/>
          <w:szCs w:val="24"/>
        </w:rPr>
      </w:pPr>
      <w:bookmarkStart w:id="0" w:name="_Toc73015439"/>
      <w:proofErr w:type="spellStart"/>
      <w:proofErr w:type="gramStart"/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 xml:space="preserve"> </w:t>
      </w:r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begin"/>
      </w:r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instrText xml:space="preserve"> SEQ Tabel \* ARABIC </w:instrText>
      </w:r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A635D4">
        <w:rPr>
          <w:rFonts w:ascii="Times New Roman" w:hAnsi="Times New Roman"/>
          <w:b/>
          <w:i w:val="0"/>
          <w:noProof/>
          <w:color w:val="000000" w:themeColor="text1"/>
          <w:sz w:val="24"/>
          <w:szCs w:val="24"/>
        </w:rPr>
        <w:t>7</w:t>
      </w:r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end"/>
      </w:r>
      <w:r w:rsidRPr="00A635D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.</w:t>
      </w:r>
      <w:proofErr w:type="gramEnd"/>
      <w:r w:rsidRPr="00A635D4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 xml:space="preserve">Data </w:t>
      </w:r>
      <w:proofErr w:type="spellStart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>Kependudukan</w:t>
      </w:r>
      <w:proofErr w:type="spellEnd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A635D4">
        <w:rPr>
          <w:rFonts w:ascii="Times New Roman" w:hAnsi="Times New Roman"/>
          <w:color w:val="000000" w:themeColor="text1"/>
          <w:sz w:val="24"/>
          <w:szCs w:val="24"/>
          <w:lang w:val="en-ID"/>
        </w:rPr>
        <w:t>Afdeeling</w:t>
      </w:r>
      <w:proofErr w:type="spellEnd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>Modjokerto</w:t>
      </w:r>
      <w:proofErr w:type="spellEnd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>tahun</w:t>
      </w:r>
      <w:proofErr w:type="spellEnd"/>
      <w:r w:rsidRPr="00A635D4">
        <w:rPr>
          <w:rFonts w:ascii="Times New Roman" w:hAnsi="Times New Roman"/>
          <w:i w:val="0"/>
          <w:color w:val="000000" w:themeColor="text1"/>
          <w:sz w:val="24"/>
          <w:szCs w:val="24"/>
          <w:lang w:val="en-ID"/>
        </w:rPr>
        <w:t xml:space="preserve"> 1920.</w:t>
      </w:r>
      <w:bookmarkEnd w:id="0"/>
      <w:proofErr w:type="gramEnd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5E0" w:firstRow="1" w:lastRow="1" w:firstColumn="1" w:lastColumn="1" w:noHBand="0" w:noVBand="1"/>
      </w:tblPr>
      <w:tblGrid>
        <w:gridCol w:w="4034"/>
        <w:gridCol w:w="1414"/>
        <w:gridCol w:w="2709"/>
      </w:tblGrid>
      <w:tr w:rsidR="00A635D4" w:rsidRPr="00A635D4" w:rsidTr="001A6212">
        <w:tc>
          <w:tcPr>
            <w:tcW w:w="4219" w:type="dxa"/>
            <w:tcBorders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Penduduk</w:t>
            </w:r>
            <w:proofErr w:type="spellEnd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en-ID"/>
              </w:rPr>
              <w:t>Afdeeling</w:t>
            </w:r>
            <w:proofErr w:type="spellEnd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Modjokerto</w:t>
            </w:r>
            <w:proofErr w:type="spellEnd"/>
          </w:p>
        </w:tc>
        <w:tc>
          <w:tcPr>
            <w:tcW w:w="1444" w:type="dxa"/>
            <w:tcBorders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Tahun</w:t>
            </w:r>
            <w:proofErr w:type="spellEnd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1920</w:t>
            </w:r>
          </w:p>
        </w:tc>
        <w:tc>
          <w:tcPr>
            <w:tcW w:w="2832" w:type="dxa"/>
            <w:tcBorders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Tahun</w:t>
            </w:r>
            <w:proofErr w:type="spellEnd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1930</w:t>
            </w:r>
          </w:p>
        </w:tc>
      </w:tr>
      <w:tr w:rsidR="00A635D4" w:rsidRPr="00A635D4" w:rsidTr="001A6212">
        <w:tc>
          <w:tcPr>
            <w:tcW w:w="4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Eropa</w:t>
            </w:r>
            <w:proofErr w:type="spellEnd"/>
          </w:p>
        </w:tc>
        <w:tc>
          <w:tcPr>
            <w:tcW w:w="14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2.342</w:t>
            </w:r>
          </w:p>
        </w:tc>
        <w:tc>
          <w:tcPr>
            <w:tcW w:w="28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  <w:t>3.005</w:t>
            </w:r>
          </w:p>
        </w:tc>
      </w:tr>
      <w:tr w:rsidR="00A635D4" w:rsidRPr="00A635D4" w:rsidTr="001A6212">
        <w:tc>
          <w:tcPr>
            <w:tcW w:w="4219" w:type="dxa"/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Tionghoa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7.638</w:t>
            </w:r>
          </w:p>
        </w:tc>
        <w:tc>
          <w:tcPr>
            <w:tcW w:w="2832" w:type="dxa"/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  <w:t>10.381</w:t>
            </w:r>
          </w:p>
        </w:tc>
      </w:tr>
      <w:tr w:rsidR="00A635D4" w:rsidRPr="00A635D4" w:rsidTr="001A6212">
        <w:tc>
          <w:tcPr>
            <w:tcW w:w="4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Timur</w:t>
            </w:r>
            <w:proofErr w:type="spellEnd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Asing</w:t>
            </w:r>
            <w:proofErr w:type="spellEnd"/>
          </w:p>
        </w:tc>
        <w:tc>
          <w:tcPr>
            <w:tcW w:w="14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459</w:t>
            </w:r>
          </w:p>
        </w:tc>
        <w:tc>
          <w:tcPr>
            <w:tcW w:w="28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  <w:t>972</w:t>
            </w:r>
          </w:p>
        </w:tc>
      </w:tr>
      <w:tr w:rsidR="00A635D4" w:rsidRPr="00A635D4" w:rsidTr="001A6212">
        <w:tc>
          <w:tcPr>
            <w:tcW w:w="4219" w:type="dxa"/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Bumi</w:t>
            </w:r>
            <w:proofErr w:type="spellEnd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Putera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823.017</w:t>
            </w:r>
          </w:p>
        </w:tc>
        <w:tc>
          <w:tcPr>
            <w:tcW w:w="2832" w:type="dxa"/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D"/>
              </w:rPr>
              <w:t>890.776</w:t>
            </w:r>
          </w:p>
        </w:tc>
      </w:tr>
      <w:tr w:rsidR="00A635D4" w:rsidRPr="00A635D4" w:rsidTr="001A6212">
        <w:tc>
          <w:tcPr>
            <w:tcW w:w="4219" w:type="dxa"/>
            <w:tcBorders>
              <w:top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444" w:type="dxa"/>
            <w:tcBorders>
              <w:top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833.456</w:t>
            </w:r>
          </w:p>
        </w:tc>
        <w:tc>
          <w:tcPr>
            <w:tcW w:w="2832" w:type="dxa"/>
            <w:tcBorders>
              <w:top w:val="single" w:sz="4" w:space="0" w:color="7F7F7F"/>
            </w:tcBorders>
            <w:shd w:val="clear" w:color="auto" w:fill="auto"/>
          </w:tcPr>
          <w:p w:rsidR="00A635D4" w:rsidRPr="00A635D4" w:rsidRDefault="00A635D4" w:rsidP="001A62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A63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905.134</w:t>
            </w:r>
          </w:p>
        </w:tc>
      </w:tr>
    </w:tbl>
    <w:p w:rsidR="00A635D4" w:rsidRPr="00A635D4" w:rsidRDefault="00A635D4" w:rsidP="00726B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</w:pPr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(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Sumber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: Data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diolah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A635D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Pr="00A635D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Volkstelling1930, </w:t>
      </w:r>
      <w:proofErr w:type="spellStart"/>
      <w:r w:rsidRPr="00A635D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hlm</w:t>
      </w:r>
      <w:proofErr w:type="spellEnd"/>
      <w:r w:rsidRPr="00A635D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32).</w:t>
      </w:r>
    </w:p>
    <w:p w:rsidR="00726B94" w:rsidRDefault="00726B94" w:rsidP="00726B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726B94" w:rsidRDefault="00A635D4" w:rsidP="00726B9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tabel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7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diketahui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bahwasannya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masuk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terus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menunjukkan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kenaikan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1920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hingga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1930 di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Afdeeling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Modjokerto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Beberapa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pemicu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banyaknya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sehubungan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fungsi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sentralnya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bidang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perdagangan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pertanian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Simpul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perdagangan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memusat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sepanjang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Kediristraat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(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sekarang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Jalan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Mojopahit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)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lalu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lintas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utama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roda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kegiatan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ekonomi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berlangsung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Sektor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perdagangan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meliputi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kebutuhan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mebel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pakaian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kecap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kain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studio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foto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restoran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industri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rokok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dikenal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nama</w:t>
      </w:r>
      <w:proofErr w:type="spellEnd"/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bokormas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jamu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tradisional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yakni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Jamu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Sido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Jodo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Dominasi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sektor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ekonomi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terlihat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sektor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pertanian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Beberapa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telah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memiliki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penggilingan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sendiri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jasa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pengangkutan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berupa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kepemilikan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truk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guna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mengangkut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hasil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panen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desa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Para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seorang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minding 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dikenal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nama</w:t>
      </w:r>
      <w:proofErr w:type="spellEnd"/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Encik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minding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Para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Encik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minding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pinjaman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bagi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para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petani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memanen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sebelum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1980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digantikan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bank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pasar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bunga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rendah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Ningsih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Husein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, 2019:4-6).</w:t>
      </w:r>
    </w:p>
    <w:p w:rsidR="00A635D4" w:rsidRDefault="00A635D4" w:rsidP="00726B9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Dominasi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Afdeeling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Modjokerto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terlihat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bidang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kaitan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menjabat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Dewan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Kota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Modjokerto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Gemeenteraad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)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1920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Sing (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Yulianingsih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, 2012:10).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Besarnya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tingkat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proporsi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Afdeeling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lastRenderedPageBreak/>
        <w:t>Modjokerto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disebabkan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berbagai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gerakan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sosial</w:t>
      </w:r>
      <w:proofErr w:type="spellEnd"/>
      <w:r w:rsidRPr="00A635D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Gerakan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sosial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pertama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dibentuk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oleh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yakni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organisasi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bernama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Tiong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Hoa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Hwee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Kwan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(T.H.H.K)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1900.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ditujukan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ketimpangan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Eropa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Putra.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perkumpulan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menggalang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spellEnd"/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tunjangan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Putra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schoolbelasting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dikenakan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 </w:t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,10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mendirikan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schoolfonds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tunjangan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anak-anak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Modjokerto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diperuntukkan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anak-anak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Belanda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membayar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Tionghoa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pioner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perkumpulan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H.C.T.N.H (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Hua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Chiao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Tsing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Nien</w:t>
      </w:r>
      <w:proofErr w:type="spellEnd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Hui</w:t>
      </w:r>
      <w:proofErr w:type="spellEnd"/>
      <w:r w:rsidRPr="00A635D4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difungsikan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kursus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memasak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kaum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perempuan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Yulianingsih</w:t>
      </w:r>
      <w:proofErr w:type="spellEnd"/>
      <w:r w:rsidRPr="00726B94">
        <w:rPr>
          <w:rFonts w:ascii="Times New Roman" w:hAnsi="Times New Roman" w:cs="Times New Roman"/>
          <w:color w:val="000000" w:themeColor="text1"/>
          <w:sz w:val="24"/>
          <w:szCs w:val="24"/>
        </w:rPr>
        <w:t>, 2012:12).</w:t>
      </w:r>
      <w:proofErr w:type="gramEnd"/>
    </w:p>
    <w:p w:rsidR="00726B94" w:rsidRDefault="00726B94" w:rsidP="00726B94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</w:pPr>
      <w:proofErr w:type="spellStart"/>
      <w:r w:rsidRPr="00726B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Sistem</w:t>
      </w:r>
      <w:proofErr w:type="spellEnd"/>
      <w:r w:rsidRPr="00726B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Kerja</w:t>
      </w:r>
      <w:proofErr w:type="spellEnd"/>
      <w:r w:rsidRPr="00726B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26B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Upah</w:t>
      </w:r>
      <w:proofErr w:type="spellEnd"/>
    </w:p>
    <w:p w:rsidR="00726B94" w:rsidRDefault="00726B94" w:rsidP="00726B94">
      <w:pPr>
        <w:spacing w:after="0"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Daya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tarik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dimiliki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oleh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perkebunan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tebu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banyaknya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lahan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dibuka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didukung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adanya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monetisasi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pengenalan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sistem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kerje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upah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lihat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tabel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13).</w:t>
      </w:r>
      <w:proofErr w:type="gram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Sistem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kerja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upah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memainkan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peran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penting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dimana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sawah-sawah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dimiliki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oleh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para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petani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mengalami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penyusutan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setiap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tahunnya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Permasalahan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ekonomi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masalah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tidak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terhindarkan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utamanya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bagi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para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petani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tidak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mempunyai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sawah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Upah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ditawarkan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6B94">
        <w:rPr>
          <w:rFonts w:ascii="Times New Roman" w:hAnsi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dimanfaatkan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oleh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para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buruh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guna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melengkapi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kebutuhan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sehari-hari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mulai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pembayaran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pajak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berbagai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perayaan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digelar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dijadikan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sebagai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modal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guna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pembibitan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lahan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pertanian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sebagainya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726B94">
        <w:rPr>
          <w:rFonts w:ascii="Times New Roman" w:hAnsi="Times New Roman"/>
          <w:color w:val="000000" w:themeColor="text1"/>
          <w:sz w:val="24"/>
          <w:szCs w:val="24"/>
        </w:rPr>
        <w:t>Nagazumi</w:t>
      </w:r>
      <w:proofErr w:type="spellEnd"/>
      <w:r w:rsidRPr="00726B94">
        <w:rPr>
          <w:rFonts w:ascii="Times New Roman" w:hAnsi="Times New Roman"/>
          <w:color w:val="000000" w:themeColor="text1"/>
          <w:sz w:val="24"/>
          <w:szCs w:val="24"/>
        </w:rPr>
        <w:t>, 1986:49-51).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726B94" w:rsidRDefault="00726B9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726B94" w:rsidRDefault="00726B94" w:rsidP="00726B94">
      <w:pPr>
        <w:spacing w:after="0"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726B94" w:rsidSect="00A635D4">
          <w:pgSz w:w="11910" w:h="16840" w:code="9"/>
          <w:pgMar w:top="2268" w:right="1701" w:bottom="1701" w:left="2268" w:header="714" w:footer="0" w:gutter="0"/>
          <w:cols w:space="708"/>
          <w:docGrid w:linePitch="299"/>
        </w:sectPr>
      </w:pPr>
    </w:p>
    <w:p w:rsidR="00726B94" w:rsidRPr="00DD61FE" w:rsidRDefault="00726B94" w:rsidP="00726B94">
      <w:pPr>
        <w:pStyle w:val="Caption"/>
        <w:jc w:val="center"/>
        <w:rPr>
          <w:rFonts w:ascii="Times New Roman" w:hAnsi="Times New Roman"/>
          <w:i w:val="0"/>
          <w:sz w:val="20"/>
          <w:szCs w:val="24"/>
        </w:rPr>
      </w:pPr>
      <w:bookmarkStart w:id="1" w:name="_Toc73015445"/>
      <w:proofErr w:type="spellStart"/>
      <w:proofErr w:type="gramStart"/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lastRenderedPageBreak/>
        <w:t>Tabel</w:t>
      </w:r>
      <w:proofErr w:type="spellEnd"/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t xml:space="preserve"> </w:t>
      </w:r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fldChar w:fldCharType="begin"/>
      </w:r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instrText xml:space="preserve"> SEQ Tabel \* ARABIC </w:instrText>
      </w:r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fldChar w:fldCharType="separate"/>
      </w:r>
      <w:r>
        <w:rPr>
          <w:rFonts w:ascii="Times New Roman" w:hAnsi="Times New Roman"/>
          <w:b/>
          <w:i w:val="0"/>
          <w:noProof/>
          <w:color w:val="000000" w:themeColor="text1"/>
          <w:sz w:val="20"/>
          <w:szCs w:val="24"/>
        </w:rPr>
        <w:t>13</w:t>
      </w:r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fldChar w:fldCharType="end"/>
      </w:r>
      <w:r w:rsidRPr="00DD61FE">
        <w:rPr>
          <w:rFonts w:ascii="Times New Roman" w:hAnsi="Times New Roman"/>
          <w:b/>
          <w:i w:val="0"/>
          <w:color w:val="000000" w:themeColor="text1"/>
          <w:sz w:val="20"/>
          <w:szCs w:val="24"/>
        </w:rPr>
        <w:t>.</w:t>
      </w:r>
      <w:proofErr w:type="gramEnd"/>
      <w:r w:rsidRPr="00DD61FE">
        <w:rPr>
          <w:rFonts w:ascii="Times New Roman" w:hAnsi="Times New Roman"/>
          <w:i w:val="0"/>
          <w:color w:val="000000" w:themeColor="text1"/>
          <w:sz w:val="20"/>
          <w:szCs w:val="24"/>
        </w:rPr>
        <w:t xml:space="preserve"> </w:t>
      </w:r>
      <w:proofErr w:type="spellStart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>Upah</w:t>
      </w:r>
      <w:proofErr w:type="spellEnd"/>
      <w:r w:rsidRPr="00207E78">
        <w:rPr>
          <w:rStyle w:val="FootnoteReference"/>
        </w:rPr>
        <w:footnoteReference w:id="4"/>
      </w:r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 xml:space="preserve"> </w:t>
      </w:r>
      <w:proofErr w:type="spellStart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>Harian</w:t>
      </w:r>
      <w:proofErr w:type="spellEnd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 xml:space="preserve"> Rata-Rata Di Perkebunan </w:t>
      </w:r>
      <w:proofErr w:type="spellStart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>Tebu</w:t>
      </w:r>
      <w:proofErr w:type="spellEnd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 xml:space="preserve"> </w:t>
      </w:r>
      <w:proofErr w:type="spellStart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>Mojokerto</w:t>
      </w:r>
      <w:proofErr w:type="spellEnd"/>
      <w:r w:rsidRPr="00DD61FE">
        <w:rPr>
          <w:rFonts w:ascii="Times New Roman" w:hAnsi="Times New Roman"/>
          <w:i w:val="0"/>
          <w:color w:val="000000" w:themeColor="text1"/>
          <w:sz w:val="20"/>
          <w:szCs w:val="24"/>
          <w:lang w:val="en-ID"/>
        </w:rPr>
        <w:t>.</w:t>
      </w:r>
      <w:bookmarkEnd w:id="1"/>
    </w:p>
    <w:tbl>
      <w:tblPr>
        <w:tblW w:w="10043" w:type="dxa"/>
        <w:tblInd w:w="2189" w:type="dxa"/>
        <w:tblBorders>
          <w:top w:val="single" w:sz="4" w:space="0" w:color="7F7F7F"/>
          <w:bottom w:val="single" w:sz="4" w:space="0" w:color="7F7F7F"/>
        </w:tblBorders>
        <w:tblLook w:val="01C0" w:firstRow="0" w:lastRow="1" w:firstColumn="1" w:lastColumn="1" w:noHBand="0" w:noVBand="0"/>
      </w:tblPr>
      <w:tblGrid>
        <w:gridCol w:w="3119"/>
        <w:gridCol w:w="971"/>
        <w:gridCol w:w="992"/>
        <w:gridCol w:w="1559"/>
        <w:gridCol w:w="992"/>
        <w:gridCol w:w="993"/>
        <w:gridCol w:w="1417"/>
      </w:tblGrid>
      <w:tr w:rsidR="00726B94" w:rsidRPr="003F186B" w:rsidTr="001A6212">
        <w:tc>
          <w:tcPr>
            <w:tcW w:w="3119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en-ID"/>
              </w:rPr>
              <w:t>Afdeeling</w:t>
            </w:r>
            <w:proofErr w:type="spellEnd"/>
          </w:p>
        </w:tc>
        <w:tc>
          <w:tcPr>
            <w:tcW w:w="352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1880</w:t>
            </w:r>
          </w:p>
        </w:tc>
        <w:tc>
          <w:tcPr>
            <w:tcW w:w="3402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1904</w:t>
            </w:r>
          </w:p>
        </w:tc>
      </w:tr>
      <w:tr w:rsidR="00726B94" w:rsidRPr="003F186B" w:rsidTr="001A6212">
        <w:tc>
          <w:tcPr>
            <w:tcW w:w="3119" w:type="dxa"/>
            <w:vMerge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97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Pria</w:t>
            </w:r>
            <w:proofErr w:type="spellEnd"/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Wanita</w:t>
            </w:r>
            <w:proofErr w:type="spellEnd"/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Anak-anak</w:t>
            </w:r>
            <w:proofErr w:type="spellEnd"/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Pria</w:t>
            </w:r>
            <w:proofErr w:type="spellEnd"/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Wanita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Anak-anak</w:t>
            </w:r>
            <w:proofErr w:type="spellEnd"/>
          </w:p>
        </w:tc>
      </w:tr>
      <w:tr w:rsidR="00726B94" w:rsidRPr="003F186B" w:rsidTr="001A6212">
        <w:tc>
          <w:tcPr>
            <w:tcW w:w="31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Surabaya (di 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perkebunan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9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f.0,35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f.0,25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f.0,15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f.0,25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f.0,15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f.0,15</w:t>
            </w:r>
          </w:p>
        </w:tc>
      </w:tr>
      <w:tr w:rsidR="00726B94" w:rsidRPr="003F186B" w:rsidTr="001A6212">
        <w:tc>
          <w:tcPr>
            <w:tcW w:w="3119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Surabaya (di 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pabrik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97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f.0,40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f.0,25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f.0,30</w:t>
            </w: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f.0,20</w:t>
            </w:r>
          </w:p>
        </w:tc>
        <w:tc>
          <w:tcPr>
            <w:tcW w:w="1417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</w:tr>
      <w:tr w:rsidR="00726B94" w:rsidRPr="003F186B" w:rsidTr="001A6212">
        <w:tc>
          <w:tcPr>
            <w:tcW w:w="31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Sidoarjo</w:t>
            </w:r>
            <w:proofErr w:type="spellEnd"/>
          </w:p>
        </w:tc>
        <w:tc>
          <w:tcPr>
            <w:tcW w:w="9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f.0,30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f.0,20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f.0,15~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f.0,25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f.0,20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</w:tr>
      <w:tr w:rsidR="00726B94" w:rsidRPr="003F186B" w:rsidTr="001A6212">
        <w:tc>
          <w:tcPr>
            <w:tcW w:w="3119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Mojokerto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buruh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tetap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97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~.0,35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~0.25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softHyphen/>
            </w: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softHyphen/>
            </w: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softHyphen/>
              <w:t>___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~0,30</w:t>
            </w: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~0,25</w:t>
            </w:r>
          </w:p>
        </w:tc>
        <w:tc>
          <w:tcPr>
            <w:tcW w:w="1417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f.0,15</w:t>
            </w:r>
          </w:p>
        </w:tc>
      </w:tr>
      <w:tr w:rsidR="00726B94" w:rsidRPr="003F186B" w:rsidTr="001A6212">
        <w:tc>
          <w:tcPr>
            <w:tcW w:w="31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9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~0,45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~f.0,25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f.0,20</w:t>
            </w:r>
          </w:p>
        </w:tc>
      </w:tr>
      <w:tr w:rsidR="00726B94" w:rsidRPr="003F186B" w:rsidTr="001A6212">
        <w:tc>
          <w:tcPr>
            <w:tcW w:w="3119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Mojokerto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buruh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harian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97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f.0,20</w:t>
            </w: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f.0,15</w:t>
            </w:r>
          </w:p>
        </w:tc>
        <w:tc>
          <w:tcPr>
            <w:tcW w:w="1417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f.0,10</w:t>
            </w:r>
          </w:p>
        </w:tc>
      </w:tr>
      <w:tr w:rsidR="00726B94" w:rsidRPr="003F186B" w:rsidTr="001A6212">
        <w:tc>
          <w:tcPr>
            <w:tcW w:w="31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9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~0,40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~0,20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~0,15</w:t>
            </w:r>
          </w:p>
        </w:tc>
      </w:tr>
      <w:tr w:rsidR="00726B94" w:rsidRPr="003F186B" w:rsidTr="001A6212">
        <w:tc>
          <w:tcPr>
            <w:tcW w:w="3119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Jombang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buruh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tetap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97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~f.0,80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~f.0,40</w:t>
            </w:r>
          </w:p>
        </w:tc>
        <w:tc>
          <w:tcPr>
            <w:tcW w:w="155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~f.0,35</w:t>
            </w: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~f.0,30</w:t>
            </w:r>
          </w:p>
        </w:tc>
        <w:tc>
          <w:tcPr>
            <w:tcW w:w="1417" w:type="dxa"/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</w:tr>
      <w:tr w:rsidR="00726B94" w:rsidRPr="003F186B" w:rsidTr="001A6212">
        <w:tc>
          <w:tcPr>
            <w:tcW w:w="31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Jombang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buruh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harian</w:t>
            </w:r>
            <w:proofErr w:type="spellEnd"/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9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f.0,40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f.0,20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f.0,25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f.0,17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ID"/>
              </w:rPr>
              <w:t>f.0,10</w:t>
            </w:r>
          </w:p>
        </w:tc>
      </w:tr>
      <w:tr w:rsidR="00726B94" w:rsidRPr="003F186B" w:rsidTr="001A6212">
        <w:tc>
          <w:tcPr>
            <w:tcW w:w="3119" w:type="dxa"/>
            <w:tcBorders>
              <w:top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97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~0,50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~0,30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___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~0,35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~0,20</w:t>
            </w:r>
          </w:p>
        </w:tc>
        <w:tc>
          <w:tcPr>
            <w:tcW w:w="1417" w:type="dxa"/>
            <w:tcBorders>
              <w:top w:val="single" w:sz="4" w:space="0" w:color="7F7F7F"/>
            </w:tcBorders>
            <w:shd w:val="clear" w:color="auto" w:fill="auto"/>
          </w:tcPr>
          <w:p w:rsidR="00726B94" w:rsidRPr="003F186B" w:rsidRDefault="00726B94" w:rsidP="001A621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3F18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~0,12</w:t>
            </w:r>
          </w:p>
        </w:tc>
      </w:tr>
    </w:tbl>
    <w:p w:rsidR="00726B94" w:rsidRPr="00DD61FE" w:rsidRDefault="00726B94" w:rsidP="00726B94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0"/>
          <w:szCs w:val="24"/>
          <w:lang w:val="en-ID"/>
        </w:rPr>
      </w:pPr>
      <w:proofErr w:type="gramStart"/>
      <w:r w:rsidRPr="00DD61FE">
        <w:rPr>
          <w:rFonts w:ascii="Times New Roman" w:hAnsi="Times New Roman"/>
          <w:color w:val="000000" w:themeColor="text1"/>
          <w:sz w:val="20"/>
          <w:szCs w:val="24"/>
          <w:lang w:val="en-ID"/>
        </w:rPr>
        <w:t>(</w:t>
      </w:r>
      <w:proofErr w:type="spellStart"/>
      <w:r w:rsidRPr="00DD61FE">
        <w:rPr>
          <w:rFonts w:ascii="Times New Roman" w:hAnsi="Times New Roman"/>
          <w:color w:val="000000" w:themeColor="text1"/>
          <w:sz w:val="20"/>
          <w:szCs w:val="24"/>
          <w:lang w:val="en-ID"/>
        </w:rPr>
        <w:t>Sumber</w:t>
      </w:r>
      <w:proofErr w:type="spellEnd"/>
      <w:r w:rsidRPr="00DD61FE">
        <w:rPr>
          <w:rFonts w:ascii="Times New Roman" w:hAnsi="Times New Roman"/>
          <w:color w:val="000000" w:themeColor="text1"/>
          <w:sz w:val="20"/>
          <w:szCs w:val="24"/>
          <w:lang w:val="en-ID"/>
        </w:rPr>
        <w:t xml:space="preserve">: </w:t>
      </w:r>
      <w:proofErr w:type="spellStart"/>
      <w:r w:rsidRPr="00DD61FE">
        <w:rPr>
          <w:rFonts w:ascii="Times New Roman" w:hAnsi="Times New Roman"/>
          <w:color w:val="000000" w:themeColor="text1"/>
          <w:sz w:val="20"/>
          <w:szCs w:val="24"/>
          <w:lang w:val="en-ID"/>
        </w:rPr>
        <w:t>Nagazumi</w:t>
      </w:r>
      <w:proofErr w:type="spellEnd"/>
      <w:r w:rsidRPr="00DD61FE">
        <w:rPr>
          <w:rFonts w:ascii="Times New Roman" w:hAnsi="Times New Roman"/>
          <w:color w:val="000000" w:themeColor="text1"/>
          <w:sz w:val="20"/>
          <w:szCs w:val="24"/>
          <w:lang w:val="en-ID"/>
        </w:rPr>
        <w:t>, 1986:56).</w:t>
      </w:r>
      <w:proofErr w:type="gramEnd"/>
    </w:p>
    <w:p w:rsidR="00A635D4" w:rsidRPr="00726B94" w:rsidRDefault="00A635D4" w:rsidP="00726B94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635D4" w:rsidRPr="00726B94" w:rsidSect="00726B94">
      <w:pgSz w:w="16840" w:h="11910" w:orient="landscape" w:code="9"/>
      <w:pgMar w:top="2268" w:right="2268" w:bottom="1701" w:left="1701" w:header="7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24" w:rsidRDefault="001D7624" w:rsidP="00A635D4">
      <w:pPr>
        <w:spacing w:after="0" w:line="240" w:lineRule="auto"/>
      </w:pPr>
      <w:r>
        <w:separator/>
      </w:r>
    </w:p>
  </w:endnote>
  <w:endnote w:type="continuationSeparator" w:id="0">
    <w:p w:rsidR="001D7624" w:rsidRDefault="001D7624" w:rsidP="00A6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24" w:rsidRDefault="001D7624" w:rsidP="00A635D4">
      <w:pPr>
        <w:spacing w:after="0" w:line="240" w:lineRule="auto"/>
      </w:pPr>
      <w:r>
        <w:separator/>
      </w:r>
    </w:p>
  </w:footnote>
  <w:footnote w:type="continuationSeparator" w:id="0">
    <w:p w:rsidR="001D7624" w:rsidRDefault="001D7624" w:rsidP="00A635D4">
      <w:pPr>
        <w:spacing w:after="0" w:line="240" w:lineRule="auto"/>
      </w:pPr>
      <w:r>
        <w:continuationSeparator/>
      </w:r>
    </w:p>
  </w:footnote>
  <w:footnote w:id="1">
    <w:p w:rsidR="00A635D4" w:rsidRDefault="00A635D4" w:rsidP="00A635D4">
      <w:pPr>
        <w:pStyle w:val="FootnoteText"/>
        <w:jc w:val="both"/>
        <w:rPr>
          <w:rFonts w:ascii="Times New Roman" w:hAnsi="Times New Roman"/>
        </w:rPr>
      </w:pPr>
      <w:r w:rsidRPr="00207E78">
        <w:rPr>
          <w:rStyle w:val="FootnoteReference"/>
        </w:rPr>
        <w:footnoteRef/>
      </w:r>
      <w:r>
        <w:t xml:space="preserve"> </w:t>
      </w:r>
      <w:proofErr w:type="spellStart"/>
      <w:r w:rsidRPr="0000379A">
        <w:rPr>
          <w:rFonts w:ascii="Times New Roman" w:hAnsi="Times New Roman"/>
        </w:rPr>
        <w:t>Metode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pencacahan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pada</w:t>
      </w:r>
      <w:proofErr w:type="spellEnd"/>
      <w:r w:rsidRPr="0000379A">
        <w:rPr>
          <w:rFonts w:ascii="Times New Roman" w:hAnsi="Times New Roman"/>
        </w:rPr>
        <w:t xml:space="preserve"> 1920 </w:t>
      </w:r>
      <w:proofErr w:type="spellStart"/>
      <w:r w:rsidRPr="0000379A">
        <w:rPr>
          <w:rFonts w:ascii="Times New Roman" w:hAnsi="Times New Roman"/>
        </w:rPr>
        <w:t>tergolong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sensus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penduduk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secara</w:t>
      </w:r>
      <w:proofErr w:type="spellEnd"/>
      <w:r w:rsidRPr="0000379A">
        <w:rPr>
          <w:rFonts w:ascii="Times New Roman" w:hAnsi="Times New Roman"/>
        </w:rPr>
        <w:t xml:space="preserve"> "</w:t>
      </w:r>
      <w:r w:rsidRPr="0000379A">
        <w:rPr>
          <w:rFonts w:ascii="Times New Roman" w:hAnsi="Times New Roman"/>
          <w:i/>
        </w:rPr>
        <w:t>de jure</w:t>
      </w:r>
      <w:r w:rsidRPr="0000379A">
        <w:rPr>
          <w:rFonts w:ascii="Times New Roman" w:hAnsi="Times New Roman"/>
        </w:rPr>
        <w:t xml:space="preserve">" </w:t>
      </w:r>
      <w:proofErr w:type="spellStart"/>
      <w:r w:rsidRPr="0000379A">
        <w:rPr>
          <w:rFonts w:ascii="Times New Roman" w:hAnsi="Times New Roman"/>
        </w:rPr>
        <w:t>meliputi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nama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jenis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kelamin</w:t>
      </w:r>
      <w:proofErr w:type="spellEnd"/>
      <w:r w:rsidRPr="0000379A">
        <w:rPr>
          <w:rFonts w:ascii="Times New Roman" w:hAnsi="Times New Roman"/>
        </w:rPr>
        <w:t xml:space="preserve">, status </w:t>
      </w:r>
      <w:proofErr w:type="spellStart"/>
      <w:r w:rsidRPr="0000379A">
        <w:rPr>
          <w:rFonts w:ascii="Times New Roman" w:hAnsi="Times New Roman"/>
        </w:rPr>
        <w:t>perkawinan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apakah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termasuk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golongan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anak-anak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atau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dewasa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suku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bahasa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sehari-hari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melek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huruf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kemampuan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membaca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menulis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dalam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Bahasa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Belanda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cacat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fisik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dan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dari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segi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pemukiman</w:t>
      </w:r>
      <w:proofErr w:type="spellEnd"/>
      <w:r w:rsidRPr="0000379A">
        <w:rPr>
          <w:rFonts w:ascii="Times New Roman" w:hAnsi="Times New Roman"/>
        </w:rPr>
        <w:t xml:space="preserve"> yang </w:t>
      </w:r>
      <w:proofErr w:type="spellStart"/>
      <w:r w:rsidRPr="0000379A">
        <w:rPr>
          <w:rFonts w:ascii="Times New Roman" w:hAnsi="Times New Roman"/>
        </w:rPr>
        <w:t>ditinggali</w:t>
      </w:r>
      <w:proofErr w:type="spellEnd"/>
      <w:r w:rsidRPr="0000379A">
        <w:rPr>
          <w:rFonts w:ascii="Times New Roman" w:hAnsi="Times New Roman"/>
        </w:rPr>
        <w:t xml:space="preserve">. </w:t>
      </w:r>
      <w:proofErr w:type="spellStart"/>
      <w:proofErr w:type="gramStart"/>
      <w:r w:rsidRPr="0000379A">
        <w:rPr>
          <w:rFonts w:ascii="Times New Roman" w:hAnsi="Times New Roman"/>
        </w:rPr>
        <w:t>Pencacahan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dilakukan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selama</w:t>
      </w:r>
      <w:proofErr w:type="spellEnd"/>
      <w:r w:rsidRPr="0000379A">
        <w:rPr>
          <w:rFonts w:ascii="Times New Roman" w:hAnsi="Times New Roman"/>
        </w:rPr>
        <w:t xml:space="preserve"> 1 </w:t>
      </w:r>
      <w:proofErr w:type="spellStart"/>
      <w:r w:rsidRPr="0000379A">
        <w:rPr>
          <w:rFonts w:ascii="Times New Roman" w:hAnsi="Times New Roman"/>
        </w:rPr>
        <w:t>bulan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dibawah</w:t>
      </w:r>
      <w:proofErr w:type="spellEnd"/>
      <w:r w:rsidRPr="0000379A">
        <w:rPr>
          <w:rFonts w:ascii="Times New Roman" w:hAnsi="Times New Roman"/>
        </w:rPr>
        <w:t xml:space="preserve"> "</w:t>
      </w:r>
      <w:proofErr w:type="spellStart"/>
      <w:r w:rsidRPr="0000379A">
        <w:rPr>
          <w:rFonts w:ascii="Times New Roman" w:hAnsi="Times New Roman"/>
        </w:rPr>
        <w:t>pencacah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penduduk</w:t>
      </w:r>
      <w:proofErr w:type="spellEnd"/>
      <w:r w:rsidRPr="0000379A">
        <w:rPr>
          <w:rFonts w:ascii="Times New Roman" w:hAnsi="Times New Roman"/>
        </w:rPr>
        <w:t xml:space="preserve">" yang </w:t>
      </w:r>
      <w:proofErr w:type="spellStart"/>
      <w:r w:rsidRPr="0000379A">
        <w:rPr>
          <w:rFonts w:ascii="Times New Roman" w:hAnsi="Times New Roman"/>
        </w:rPr>
        <w:t>diangkat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oleh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kepala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desa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dipilih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dari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pegawai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pemerintah</w:t>
      </w:r>
      <w:proofErr w:type="spellEnd"/>
      <w:r w:rsidRPr="0000379A">
        <w:rPr>
          <w:rFonts w:ascii="Times New Roman" w:hAnsi="Times New Roman"/>
        </w:rPr>
        <w:t>.</w:t>
      </w:r>
      <w:proofErr w:type="gramEnd"/>
      <w:r w:rsidRPr="0000379A">
        <w:rPr>
          <w:rFonts w:ascii="Times New Roman" w:hAnsi="Times New Roman"/>
        </w:rPr>
        <w:t xml:space="preserve"> </w:t>
      </w:r>
      <w:proofErr w:type="spellStart"/>
      <w:proofErr w:type="gramStart"/>
      <w:r w:rsidRPr="0000379A">
        <w:rPr>
          <w:rFonts w:ascii="Times New Roman" w:hAnsi="Times New Roman"/>
        </w:rPr>
        <w:t>Berbeda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jika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dibandingkan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dengan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sensus</w:t>
      </w:r>
      <w:proofErr w:type="spellEnd"/>
      <w:r w:rsidRPr="0000379A">
        <w:rPr>
          <w:rFonts w:ascii="Times New Roman" w:hAnsi="Times New Roman"/>
        </w:rPr>
        <w:t xml:space="preserve"> yang </w:t>
      </w:r>
      <w:proofErr w:type="spellStart"/>
      <w:r w:rsidRPr="0000379A">
        <w:rPr>
          <w:rFonts w:ascii="Times New Roman" w:hAnsi="Times New Roman"/>
        </w:rPr>
        <w:t>dilakukan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pada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tahun</w:t>
      </w:r>
      <w:proofErr w:type="spellEnd"/>
      <w:r w:rsidRPr="0000379A">
        <w:rPr>
          <w:rFonts w:ascii="Times New Roman" w:hAnsi="Times New Roman"/>
        </w:rPr>
        <w:t xml:space="preserve"> 1930 </w:t>
      </w:r>
      <w:proofErr w:type="spellStart"/>
      <w:r w:rsidRPr="0000379A">
        <w:rPr>
          <w:rFonts w:ascii="Times New Roman" w:hAnsi="Times New Roman"/>
        </w:rPr>
        <w:t>terkait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dengan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pengolahan</w:t>
      </w:r>
      <w:proofErr w:type="spellEnd"/>
      <w:r w:rsidRPr="0000379A">
        <w:rPr>
          <w:rFonts w:ascii="Times New Roman" w:hAnsi="Times New Roman"/>
        </w:rPr>
        <w:t xml:space="preserve"> data </w:t>
      </w:r>
      <w:proofErr w:type="spellStart"/>
      <w:r w:rsidRPr="0000379A">
        <w:rPr>
          <w:rFonts w:ascii="Times New Roman" w:hAnsi="Times New Roman"/>
        </w:rPr>
        <w:t>hasil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sensus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bersifat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sentralistik</w:t>
      </w:r>
      <w:proofErr w:type="spellEnd"/>
      <w:r w:rsidRPr="0000379A">
        <w:rPr>
          <w:rFonts w:ascii="Times New Roman" w:hAnsi="Times New Roman"/>
        </w:rPr>
        <w:t>.</w:t>
      </w:r>
      <w:proofErr w:type="gramEnd"/>
      <w:r w:rsidRPr="0000379A">
        <w:rPr>
          <w:rFonts w:ascii="Times New Roman" w:hAnsi="Times New Roman"/>
        </w:rPr>
        <w:t xml:space="preserve"> </w:t>
      </w:r>
      <w:proofErr w:type="spellStart"/>
      <w:proofErr w:type="gramStart"/>
      <w:r w:rsidRPr="0000379A">
        <w:rPr>
          <w:rFonts w:ascii="Times New Roman" w:hAnsi="Times New Roman"/>
        </w:rPr>
        <w:t>Pada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tahun</w:t>
      </w:r>
      <w:proofErr w:type="spellEnd"/>
      <w:r w:rsidRPr="0000379A">
        <w:rPr>
          <w:rFonts w:ascii="Times New Roman" w:hAnsi="Times New Roman"/>
        </w:rPr>
        <w:t xml:space="preserve"> 1930 </w:t>
      </w:r>
      <w:proofErr w:type="spellStart"/>
      <w:r w:rsidRPr="0000379A">
        <w:rPr>
          <w:rFonts w:ascii="Times New Roman" w:hAnsi="Times New Roman"/>
        </w:rPr>
        <w:t>pencacahan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dilakukan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secara</w:t>
      </w:r>
      <w:proofErr w:type="spellEnd"/>
      <w:r w:rsidRPr="0000379A">
        <w:rPr>
          <w:rFonts w:ascii="Times New Roman" w:hAnsi="Times New Roman"/>
        </w:rPr>
        <w:t xml:space="preserve"> "</w:t>
      </w:r>
      <w:r w:rsidRPr="0000379A">
        <w:rPr>
          <w:rFonts w:ascii="Times New Roman" w:hAnsi="Times New Roman"/>
          <w:i/>
        </w:rPr>
        <w:t>de facto</w:t>
      </w:r>
      <w:r w:rsidRPr="0000379A">
        <w:rPr>
          <w:rFonts w:ascii="Times New Roman" w:hAnsi="Times New Roman"/>
        </w:rPr>
        <w:t>".</w:t>
      </w:r>
      <w:proofErr w:type="gram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Pencacahan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dilakukan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dengan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memperhatikan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beberapa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indikator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mulai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dari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kepala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keluarga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apa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bukan</w:t>
      </w:r>
      <w:proofErr w:type="spellEnd"/>
      <w:r w:rsidRPr="0000379A">
        <w:rPr>
          <w:rFonts w:ascii="Times New Roman" w:hAnsi="Times New Roman"/>
        </w:rPr>
        <w:t xml:space="preserve">, status </w:t>
      </w:r>
      <w:proofErr w:type="spellStart"/>
      <w:r w:rsidRPr="0000379A">
        <w:rPr>
          <w:rFonts w:ascii="Times New Roman" w:hAnsi="Times New Roman"/>
        </w:rPr>
        <w:t>pernikahan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jumlah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isi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pencacahan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bera</w:t>
      </w:r>
      <w:r>
        <w:rPr>
          <w:rFonts w:ascii="Times New Roman" w:hAnsi="Times New Roman"/>
        </w:rPr>
        <w:t>d</w:t>
      </w:r>
      <w:r w:rsidRPr="0000379A">
        <w:rPr>
          <w:rFonts w:ascii="Times New Roman" w:hAnsi="Times New Roman"/>
        </w:rPr>
        <w:t>a</w:t>
      </w:r>
      <w:r>
        <w:rPr>
          <w:rFonts w:ascii="Times New Roman" w:hAnsi="Times New Roman"/>
        </w:rPr>
        <w:t>sa</w:t>
      </w:r>
      <w:r w:rsidRPr="0000379A">
        <w:rPr>
          <w:rFonts w:ascii="Times New Roman" w:hAnsi="Times New Roman"/>
        </w:rPr>
        <w:t>rkan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dengan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pengklasifikasian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berdasar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golonga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pencaharian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utama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A643B3">
        <w:rPr>
          <w:rFonts w:ascii="Times New Roman" w:hAnsi="Times New Roman"/>
          <w:i/>
        </w:rPr>
        <w:t>mideel</w:t>
      </w:r>
      <w:proofErr w:type="spellEnd"/>
      <w:r w:rsidRPr="00A643B3">
        <w:rPr>
          <w:rFonts w:ascii="Times New Roman" w:hAnsi="Times New Roman"/>
          <w:i/>
        </w:rPr>
        <w:t xml:space="preserve"> van </w:t>
      </w:r>
      <w:proofErr w:type="spellStart"/>
      <w:r w:rsidRPr="00A643B3">
        <w:rPr>
          <w:rFonts w:ascii="Times New Roman" w:hAnsi="Times New Roman"/>
          <w:i/>
        </w:rPr>
        <w:t>bestaam</w:t>
      </w:r>
      <w:proofErr w:type="spellEnd"/>
      <w:r w:rsidRPr="0000379A">
        <w:rPr>
          <w:rFonts w:ascii="Times New Roman" w:hAnsi="Times New Roman"/>
        </w:rPr>
        <w:t xml:space="preserve">) </w:t>
      </w:r>
      <w:proofErr w:type="spellStart"/>
      <w:r w:rsidRPr="0000379A">
        <w:rPr>
          <w:rFonts w:ascii="Times New Roman" w:hAnsi="Times New Roman"/>
        </w:rPr>
        <w:t>serta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mata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pencaharian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tambahan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kem</w:t>
      </w:r>
      <w:r>
        <w:rPr>
          <w:rFonts w:ascii="Times New Roman" w:hAnsi="Times New Roman"/>
        </w:rPr>
        <w:t>am</w:t>
      </w:r>
      <w:r w:rsidRPr="0000379A">
        <w:rPr>
          <w:rFonts w:ascii="Times New Roman" w:hAnsi="Times New Roman"/>
        </w:rPr>
        <w:t>puan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menulis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dalam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Bahasa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Belanda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kelompok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etnis</w:t>
      </w:r>
      <w:proofErr w:type="spellEnd"/>
      <w:r w:rsidRPr="0000379A">
        <w:rPr>
          <w:rFonts w:ascii="Times New Roman" w:hAnsi="Times New Roman"/>
        </w:rPr>
        <w:t xml:space="preserve"> (</w:t>
      </w:r>
      <w:proofErr w:type="spellStart"/>
      <w:r w:rsidRPr="00A643B3">
        <w:rPr>
          <w:rFonts w:ascii="Times New Roman" w:hAnsi="Times New Roman"/>
          <w:i/>
        </w:rPr>
        <w:t>landaard</w:t>
      </w:r>
      <w:proofErr w:type="spellEnd"/>
      <w:r w:rsidRPr="0000379A">
        <w:rPr>
          <w:rFonts w:ascii="Times New Roman" w:hAnsi="Times New Roman"/>
        </w:rPr>
        <w:t xml:space="preserve">), </w:t>
      </w:r>
      <w:r w:rsidRPr="00A643B3">
        <w:rPr>
          <w:rFonts w:ascii="Times New Roman" w:hAnsi="Times New Roman"/>
          <w:i/>
        </w:rPr>
        <w:t>district</w:t>
      </w:r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tempat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tinggal</w:t>
      </w:r>
      <w:proofErr w:type="spellEnd"/>
      <w:r w:rsidRPr="0000379A">
        <w:rPr>
          <w:rFonts w:ascii="Times New Roman" w:hAnsi="Times New Roman"/>
        </w:rPr>
        <w:t xml:space="preserve">, </w:t>
      </w:r>
      <w:proofErr w:type="spellStart"/>
      <w:r w:rsidRPr="0000379A">
        <w:rPr>
          <w:rFonts w:ascii="Times New Roman" w:hAnsi="Times New Roman"/>
        </w:rPr>
        <w:t>kelahiran</w:t>
      </w:r>
      <w:proofErr w:type="spellEnd"/>
      <w:r w:rsidRPr="0000379A">
        <w:rPr>
          <w:rFonts w:ascii="Times New Roman" w:hAnsi="Times New Roman"/>
        </w:rPr>
        <w:t xml:space="preserve">. </w:t>
      </w:r>
      <w:proofErr w:type="spellStart"/>
      <w:proofErr w:type="gramStart"/>
      <w:r w:rsidRPr="0000379A">
        <w:rPr>
          <w:rFonts w:ascii="Times New Roman" w:hAnsi="Times New Roman"/>
        </w:rPr>
        <w:t>Lihat</w:t>
      </w:r>
      <w:proofErr w:type="spellEnd"/>
      <w:r w:rsidRPr="0000379A">
        <w:rPr>
          <w:rFonts w:ascii="Times New Roman" w:hAnsi="Times New Roman"/>
        </w:rPr>
        <w:t xml:space="preserve"> </w:t>
      </w:r>
      <w:proofErr w:type="spellStart"/>
      <w:r w:rsidRPr="0000379A">
        <w:rPr>
          <w:rFonts w:ascii="Times New Roman" w:hAnsi="Times New Roman"/>
        </w:rPr>
        <w:t>Nitisastro</w:t>
      </w:r>
      <w:proofErr w:type="spellEnd"/>
      <w:r w:rsidRPr="0000379A">
        <w:rPr>
          <w:rFonts w:ascii="Times New Roman" w:hAnsi="Times New Roman"/>
        </w:rPr>
        <w:t>, W. 2006.</w:t>
      </w:r>
      <w:proofErr w:type="gramEnd"/>
      <w:r w:rsidRPr="0000379A">
        <w:rPr>
          <w:rFonts w:ascii="Times New Roman" w:hAnsi="Times New Roman"/>
        </w:rPr>
        <w:t xml:space="preserve"> </w:t>
      </w:r>
      <w:r w:rsidRPr="0000379A">
        <w:rPr>
          <w:rFonts w:ascii="Times New Roman" w:hAnsi="Times New Roman"/>
          <w:i/>
        </w:rPr>
        <w:t xml:space="preserve">Population Trends </w:t>
      </w:r>
      <w:proofErr w:type="gramStart"/>
      <w:r w:rsidRPr="0000379A">
        <w:rPr>
          <w:rFonts w:ascii="Times New Roman" w:hAnsi="Times New Roman"/>
          <w:i/>
        </w:rPr>
        <w:t>In</w:t>
      </w:r>
      <w:proofErr w:type="gramEnd"/>
      <w:r w:rsidRPr="0000379A">
        <w:rPr>
          <w:rFonts w:ascii="Times New Roman" w:hAnsi="Times New Roman"/>
          <w:i/>
        </w:rPr>
        <w:t xml:space="preserve"> Indonesia</w:t>
      </w:r>
      <w:r w:rsidRPr="0000379A">
        <w:rPr>
          <w:rFonts w:ascii="Times New Roman" w:hAnsi="Times New Roman"/>
        </w:rPr>
        <w:t xml:space="preserve">. Jakarta: Equinox Publishing Indonesia, </w:t>
      </w:r>
      <w:proofErr w:type="spellStart"/>
      <w:r w:rsidRPr="0000379A">
        <w:rPr>
          <w:rFonts w:ascii="Times New Roman" w:hAnsi="Times New Roman"/>
        </w:rPr>
        <w:t>hlm</w:t>
      </w:r>
      <w:proofErr w:type="spellEnd"/>
      <w:r w:rsidRPr="0000379A">
        <w:rPr>
          <w:rFonts w:ascii="Times New Roman" w:hAnsi="Times New Roman"/>
        </w:rPr>
        <w:t xml:space="preserve"> 65-72.</w:t>
      </w:r>
    </w:p>
    <w:p w:rsidR="00A635D4" w:rsidRDefault="00A635D4" w:rsidP="00A635D4">
      <w:pPr>
        <w:pStyle w:val="FootnoteText"/>
        <w:jc w:val="both"/>
      </w:pPr>
    </w:p>
  </w:footnote>
  <w:footnote w:id="2">
    <w:p w:rsidR="00A635D4" w:rsidRPr="000B579A" w:rsidRDefault="00A635D4" w:rsidP="00A635D4">
      <w:pPr>
        <w:pStyle w:val="FootnoteText"/>
        <w:jc w:val="both"/>
        <w:rPr>
          <w:rFonts w:ascii="Times New Roman" w:hAnsi="Times New Roman"/>
        </w:rPr>
      </w:pPr>
      <w:r w:rsidRPr="00207E78">
        <w:rPr>
          <w:rStyle w:val="FootnoteReference"/>
        </w:rPr>
        <w:footnoteRef/>
      </w:r>
      <w:r w:rsidRPr="000B579A">
        <w:rPr>
          <w:rFonts w:ascii="Times New Roman" w:hAnsi="Times New Roman"/>
        </w:rPr>
        <w:t xml:space="preserve"> </w:t>
      </w:r>
      <w:proofErr w:type="spellStart"/>
      <w:proofErr w:type="gramStart"/>
      <w:r w:rsidRPr="000B579A">
        <w:rPr>
          <w:rFonts w:ascii="Times New Roman" w:hAnsi="Times New Roman"/>
        </w:rPr>
        <w:t>Proporsi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migran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Tionghoa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tidak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hanya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tersebar</w:t>
      </w:r>
      <w:proofErr w:type="spellEnd"/>
      <w:r w:rsidRPr="000B579A">
        <w:rPr>
          <w:rFonts w:ascii="Times New Roman" w:hAnsi="Times New Roman"/>
        </w:rPr>
        <w:t xml:space="preserve"> di </w:t>
      </w:r>
      <w:proofErr w:type="spellStart"/>
      <w:r w:rsidRPr="000B579A">
        <w:rPr>
          <w:rFonts w:ascii="Times New Roman" w:hAnsi="Times New Roman"/>
        </w:rPr>
        <w:t>wilayah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  <w:i/>
        </w:rPr>
        <w:t>Afdeeling</w:t>
      </w:r>
      <w:proofErr w:type="spellEnd"/>
      <w:r w:rsidRPr="000B579A">
        <w:rPr>
          <w:rFonts w:ascii="Times New Roman" w:hAnsi="Times New Roman"/>
          <w:i/>
        </w:rPr>
        <w:t xml:space="preserve"> </w:t>
      </w:r>
      <w:proofErr w:type="spellStart"/>
      <w:r w:rsidRPr="000B579A">
        <w:rPr>
          <w:rFonts w:ascii="Times New Roman" w:hAnsi="Times New Roman"/>
        </w:rPr>
        <w:t>Modjokerto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saja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melainkan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juga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mendominasi</w:t>
      </w:r>
      <w:proofErr w:type="spellEnd"/>
      <w:r w:rsidRPr="000B579A">
        <w:rPr>
          <w:rFonts w:ascii="Times New Roman" w:hAnsi="Times New Roman"/>
        </w:rPr>
        <w:t xml:space="preserve"> di </w:t>
      </w:r>
      <w:proofErr w:type="spellStart"/>
      <w:r w:rsidRPr="000B579A">
        <w:rPr>
          <w:rFonts w:ascii="Times New Roman" w:hAnsi="Times New Roman"/>
        </w:rPr>
        <w:t>Gemeente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Modjokerto</w:t>
      </w:r>
      <w:proofErr w:type="spellEnd"/>
      <w:r w:rsidRPr="000B579A">
        <w:rPr>
          <w:rFonts w:ascii="Times New Roman" w:hAnsi="Times New Roman"/>
        </w:rPr>
        <w:t>.</w:t>
      </w:r>
      <w:proofErr w:type="gramEnd"/>
      <w:r w:rsidRPr="000B579A">
        <w:rPr>
          <w:rFonts w:ascii="Times New Roman" w:hAnsi="Times New Roman"/>
        </w:rPr>
        <w:t xml:space="preserve"> </w:t>
      </w:r>
      <w:proofErr w:type="spellStart"/>
      <w:proofErr w:type="gramStart"/>
      <w:r w:rsidRPr="000B579A">
        <w:rPr>
          <w:rFonts w:ascii="Times New Roman" w:hAnsi="Times New Roman"/>
        </w:rPr>
        <w:t>Beradsarkan</w:t>
      </w:r>
      <w:proofErr w:type="spellEnd"/>
      <w:r w:rsidRPr="000B579A">
        <w:rPr>
          <w:rFonts w:ascii="Times New Roman" w:hAnsi="Times New Roman"/>
        </w:rPr>
        <w:t xml:space="preserve"> data yang </w:t>
      </w:r>
      <w:proofErr w:type="spellStart"/>
      <w:r w:rsidRPr="000B579A">
        <w:rPr>
          <w:rFonts w:ascii="Times New Roman" w:hAnsi="Times New Roman"/>
        </w:rPr>
        <w:t>bersumber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dari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V</w:t>
      </w:r>
      <w:r w:rsidRPr="000B579A">
        <w:rPr>
          <w:rFonts w:ascii="Times New Roman" w:hAnsi="Times New Roman"/>
          <w:i/>
        </w:rPr>
        <w:t>olkstelling</w:t>
      </w:r>
      <w:proofErr w:type="spellEnd"/>
      <w:r w:rsidRPr="000B579A">
        <w:rPr>
          <w:rFonts w:ascii="Times New Roman" w:hAnsi="Times New Roman"/>
          <w:i/>
        </w:rPr>
        <w:t xml:space="preserve"> </w:t>
      </w:r>
      <w:r w:rsidRPr="000B579A">
        <w:rPr>
          <w:rFonts w:ascii="Times New Roman" w:hAnsi="Times New Roman"/>
        </w:rPr>
        <w:t xml:space="preserve">1930, </w:t>
      </w:r>
      <w:proofErr w:type="spellStart"/>
      <w:r w:rsidRPr="000B579A">
        <w:rPr>
          <w:rFonts w:ascii="Times New Roman" w:hAnsi="Times New Roman"/>
        </w:rPr>
        <w:t>Deel</w:t>
      </w:r>
      <w:proofErr w:type="spellEnd"/>
      <w:r w:rsidRPr="000B579A">
        <w:rPr>
          <w:rFonts w:ascii="Times New Roman" w:hAnsi="Times New Roman"/>
        </w:rPr>
        <w:t xml:space="preserve"> VII </w:t>
      </w:r>
      <w:proofErr w:type="spellStart"/>
      <w:r w:rsidRPr="000B579A">
        <w:rPr>
          <w:rFonts w:ascii="Times New Roman" w:hAnsi="Times New Roman"/>
        </w:rPr>
        <w:t>adalah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sebagai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berikut</w:t>
      </w:r>
      <w:proofErr w:type="spellEnd"/>
      <w:r w:rsidRPr="000B579A">
        <w:rPr>
          <w:rFonts w:ascii="Times New Roman" w:hAnsi="Times New Roman"/>
        </w:rPr>
        <w:t>.</w:t>
      </w:r>
      <w:proofErr w:type="gramEnd"/>
      <w:r w:rsidRPr="000B579A">
        <w:rPr>
          <w:rFonts w:ascii="Times New Roman" w:hAnsi="Times New Roman"/>
        </w:rPr>
        <w:t xml:space="preserve"> </w:t>
      </w:r>
      <w:proofErr w:type="spellStart"/>
      <w:proofErr w:type="gramStart"/>
      <w:r w:rsidRPr="000B579A">
        <w:rPr>
          <w:rFonts w:ascii="Times New Roman" w:hAnsi="Times New Roman"/>
        </w:rPr>
        <w:t>Tahun</w:t>
      </w:r>
      <w:proofErr w:type="spellEnd"/>
      <w:r w:rsidRPr="000B579A">
        <w:rPr>
          <w:rFonts w:ascii="Times New Roman" w:hAnsi="Times New Roman"/>
        </w:rPr>
        <w:t xml:space="preserve"> 1920 </w:t>
      </w:r>
      <w:proofErr w:type="spellStart"/>
      <w:r w:rsidRPr="000B579A">
        <w:rPr>
          <w:rFonts w:ascii="Times New Roman" w:hAnsi="Times New Roman"/>
        </w:rPr>
        <w:t>jumlah</w:t>
      </w:r>
      <w:proofErr w:type="spellEnd"/>
      <w:r w:rsidRPr="000B579A">
        <w:rPr>
          <w:rFonts w:ascii="Times New Roman" w:hAnsi="Times New Roman"/>
        </w:rPr>
        <w:t xml:space="preserve"> (L) </w:t>
      </w:r>
      <w:proofErr w:type="spellStart"/>
      <w:r w:rsidRPr="000B579A">
        <w:rPr>
          <w:rFonts w:ascii="Times New Roman" w:hAnsi="Times New Roman"/>
        </w:rPr>
        <w:t>Tionghoa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sebesar</w:t>
      </w:r>
      <w:proofErr w:type="spellEnd"/>
      <w:r w:rsidRPr="000B579A">
        <w:rPr>
          <w:rFonts w:ascii="Times New Roman" w:hAnsi="Times New Roman"/>
        </w:rPr>
        <w:t xml:space="preserve"> 1.108, (P) </w:t>
      </w:r>
      <w:proofErr w:type="spellStart"/>
      <w:r w:rsidRPr="000B579A">
        <w:rPr>
          <w:rFonts w:ascii="Times New Roman" w:hAnsi="Times New Roman"/>
        </w:rPr>
        <w:t>sebesar</w:t>
      </w:r>
      <w:proofErr w:type="spellEnd"/>
      <w:r w:rsidRPr="000B579A">
        <w:rPr>
          <w:rFonts w:ascii="Times New Roman" w:hAnsi="Times New Roman"/>
        </w:rPr>
        <w:t xml:space="preserve"> 881 </w:t>
      </w:r>
      <w:proofErr w:type="spellStart"/>
      <w:r w:rsidRPr="000B579A">
        <w:rPr>
          <w:rFonts w:ascii="Times New Roman" w:hAnsi="Times New Roman"/>
        </w:rPr>
        <w:t>dengan</w:t>
      </w:r>
      <w:proofErr w:type="spellEnd"/>
      <w:r w:rsidRPr="000B579A">
        <w:rPr>
          <w:rFonts w:ascii="Times New Roman" w:hAnsi="Times New Roman"/>
        </w:rPr>
        <w:t xml:space="preserve"> total </w:t>
      </w:r>
      <w:proofErr w:type="spellStart"/>
      <w:r w:rsidRPr="000B579A">
        <w:rPr>
          <w:rFonts w:ascii="Times New Roman" w:hAnsi="Times New Roman"/>
        </w:rPr>
        <w:t>migran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sebesar</w:t>
      </w:r>
      <w:proofErr w:type="spellEnd"/>
      <w:r w:rsidRPr="000B579A">
        <w:rPr>
          <w:rFonts w:ascii="Times New Roman" w:hAnsi="Times New Roman"/>
        </w:rPr>
        <w:t xml:space="preserve"> 1.989.</w:t>
      </w:r>
      <w:proofErr w:type="gramEnd"/>
      <w:r w:rsidRPr="000B579A">
        <w:rPr>
          <w:rFonts w:ascii="Times New Roman" w:hAnsi="Times New Roman"/>
        </w:rPr>
        <w:t xml:space="preserve"> </w:t>
      </w:r>
      <w:proofErr w:type="spellStart"/>
      <w:proofErr w:type="gramStart"/>
      <w:r w:rsidRPr="000B579A">
        <w:rPr>
          <w:rFonts w:ascii="Times New Roman" w:hAnsi="Times New Roman"/>
        </w:rPr>
        <w:t>Tahun</w:t>
      </w:r>
      <w:proofErr w:type="spellEnd"/>
      <w:r w:rsidRPr="000B579A">
        <w:rPr>
          <w:rFonts w:ascii="Times New Roman" w:hAnsi="Times New Roman"/>
        </w:rPr>
        <w:t xml:space="preserve"> 1930 </w:t>
      </w:r>
      <w:proofErr w:type="spellStart"/>
      <w:r w:rsidRPr="000B579A">
        <w:rPr>
          <w:rFonts w:ascii="Times New Roman" w:hAnsi="Times New Roman"/>
        </w:rPr>
        <w:t>proporsi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migran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masuk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untuk</w:t>
      </w:r>
      <w:proofErr w:type="spellEnd"/>
      <w:r w:rsidRPr="000B579A">
        <w:rPr>
          <w:rFonts w:ascii="Times New Roman" w:hAnsi="Times New Roman"/>
        </w:rPr>
        <w:t xml:space="preserve"> (L) 1440, (P) 1168 </w:t>
      </w:r>
      <w:proofErr w:type="spellStart"/>
      <w:r w:rsidRPr="000B579A">
        <w:rPr>
          <w:rFonts w:ascii="Times New Roman" w:hAnsi="Times New Roman"/>
        </w:rPr>
        <w:t>dengan</w:t>
      </w:r>
      <w:proofErr w:type="spellEnd"/>
      <w:r w:rsidRPr="000B579A">
        <w:rPr>
          <w:rFonts w:ascii="Times New Roman" w:hAnsi="Times New Roman"/>
        </w:rPr>
        <w:t xml:space="preserve"> total </w:t>
      </w:r>
      <w:proofErr w:type="spellStart"/>
      <w:r w:rsidRPr="000B579A">
        <w:rPr>
          <w:rFonts w:ascii="Times New Roman" w:hAnsi="Times New Roman"/>
        </w:rPr>
        <w:t>keseluruhan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migran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Tionghoa</w:t>
      </w:r>
      <w:proofErr w:type="spellEnd"/>
      <w:r w:rsidRPr="000B579A">
        <w:rPr>
          <w:rFonts w:ascii="Times New Roman" w:hAnsi="Times New Roman"/>
        </w:rPr>
        <w:t xml:space="preserve"> </w:t>
      </w:r>
      <w:proofErr w:type="spellStart"/>
      <w:r w:rsidRPr="000B579A">
        <w:rPr>
          <w:rFonts w:ascii="Times New Roman" w:hAnsi="Times New Roman"/>
        </w:rPr>
        <w:t>yakni</w:t>
      </w:r>
      <w:proofErr w:type="spellEnd"/>
      <w:r w:rsidRPr="000B579A">
        <w:rPr>
          <w:rFonts w:ascii="Times New Roman" w:hAnsi="Times New Roman"/>
        </w:rPr>
        <w:t xml:space="preserve"> 2.608 (</w:t>
      </w:r>
      <w:proofErr w:type="spellStart"/>
      <w:r w:rsidRPr="000B579A">
        <w:rPr>
          <w:rFonts w:ascii="Times New Roman" w:hAnsi="Times New Roman"/>
          <w:i/>
        </w:rPr>
        <w:t>Volkstelling</w:t>
      </w:r>
      <w:proofErr w:type="spellEnd"/>
      <w:r w:rsidRPr="000B579A">
        <w:rPr>
          <w:rFonts w:ascii="Times New Roman" w:hAnsi="Times New Roman"/>
          <w:i/>
        </w:rPr>
        <w:t xml:space="preserve"> 1930.</w:t>
      </w:r>
      <w:proofErr w:type="gramEnd"/>
      <w:r w:rsidRPr="000B579A">
        <w:rPr>
          <w:rFonts w:ascii="Times New Roman" w:hAnsi="Times New Roman"/>
          <w:i/>
        </w:rPr>
        <w:t xml:space="preserve"> </w:t>
      </w:r>
      <w:proofErr w:type="spellStart"/>
      <w:r w:rsidRPr="000B579A">
        <w:rPr>
          <w:rFonts w:ascii="Times New Roman" w:hAnsi="Times New Roman"/>
          <w:i/>
        </w:rPr>
        <w:t>Deel</w:t>
      </w:r>
      <w:proofErr w:type="spellEnd"/>
      <w:r w:rsidRPr="000B579A">
        <w:rPr>
          <w:rFonts w:ascii="Times New Roman" w:hAnsi="Times New Roman"/>
          <w:i/>
        </w:rPr>
        <w:t xml:space="preserve"> VII, </w:t>
      </w:r>
      <w:proofErr w:type="spellStart"/>
      <w:r w:rsidRPr="000B579A">
        <w:rPr>
          <w:rFonts w:ascii="Times New Roman" w:hAnsi="Times New Roman"/>
          <w:i/>
        </w:rPr>
        <w:t>hlm</w:t>
      </w:r>
      <w:proofErr w:type="spellEnd"/>
      <w:r w:rsidRPr="000B579A">
        <w:rPr>
          <w:rFonts w:ascii="Times New Roman" w:hAnsi="Times New Roman"/>
          <w:i/>
        </w:rPr>
        <w:t xml:space="preserve"> 184-185).</w:t>
      </w:r>
    </w:p>
  </w:footnote>
  <w:footnote w:id="3">
    <w:p w:rsidR="00A635D4" w:rsidRPr="00BB43D4" w:rsidRDefault="00A635D4" w:rsidP="00A635D4">
      <w:pPr>
        <w:pStyle w:val="FootnoteText"/>
        <w:jc w:val="both"/>
        <w:rPr>
          <w:rFonts w:ascii="Times New Roman" w:hAnsi="Times New Roman"/>
        </w:rPr>
      </w:pPr>
      <w:r w:rsidRPr="00207E78">
        <w:rPr>
          <w:rStyle w:val="FootnoteReference"/>
        </w:rPr>
        <w:footnoteRef/>
      </w:r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BB43D4">
        <w:rPr>
          <w:rFonts w:ascii="Times New Roman" w:hAnsi="Times New Roman"/>
          <w:color w:val="000000" w:themeColor="text1"/>
        </w:rPr>
        <w:t>Organisasi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ini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juga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menyelenggarakan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hiburan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publik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seperti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pasar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malam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BB43D4">
        <w:rPr>
          <w:rFonts w:ascii="Times New Roman" w:hAnsi="Times New Roman"/>
          <w:color w:val="000000" w:themeColor="text1"/>
        </w:rPr>
        <w:t>terpsat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di </w:t>
      </w:r>
      <w:proofErr w:type="spellStart"/>
      <w:r w:rsidRPr="00BB43D4">
        <w:rPr>
          <w:rFonts w:ascii="Times New Roman" w:hAnsi="Times New Roman"/>
          <w:color w:val="000000" w:themeColor="text1"/>
        </w:rPr>
        <w:t>alun-alun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utama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Gemeente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3D4">
        <w:rPr>
          <w:rFonts w:ascii="Times New Roman" w:hAnsi="Times New Roman"/>
          <w:color w:val="000000" w:themeColor="text1"/>
        </w:rPr>
        <w:t>Modjokerto</w:t>
      </w:r>
      <w:proofErr w:type="spellEnd"/>
      <w:r w:rsidRPr="00BB43D4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BB43D4">
        <w:rPr>
          <w:rFonts w:ascii="Times New Roman" w:hAnsi="Times New Roman"/>
          <w:color w:val="000000" w:themeColor="text1"/>
        </w:rPr>
        <w:t>Yulianingsih</w:t>
      </w:r>
      <w:proofErr w:type="spellEnd"/>
      <w:r w:rsidRPr="00BB43D4">
        <w:rPr>
          <w:rFonts w:ascii="Times New Roman" w:hAnsi="Times New Roman"/>
          <w:color w:val="000000" w:themeColor="text1"/>
        </w:rPr>
        <w:t>, 2012:13).</w:t>
      </w:r>
      <w:proofErr w:type="gramEnd"/>
    </w:p>
  </w:footnote>
  <w:footnote w:id="4">
    <w:p w:rsidR="00726B94" w:rsidRPr="00004842" w:rsidRDefault="00726B94" w:rsidP="00726B94">
      <w:pPr>
        <w:pStyle w:val="FootnoteText"/>
        <w:jc w:val="both"/>
        <w:rPr>
          <w:rFonts w:ascii="Times New Roman" w:hAnsi="Times New Roman"/>
        </w:rPr>
      </w:pPr>
      <w:r w:rsidRPr="00207E78">
        <w:rPr>
          <w:rStyle w:val="FootnoteReference"/>
        </w:rPr>
        <w:footnoteRef/>
      </w:r>
      <w:r w:rsidRPr="00004842">
        <w:rPr>
          <w:rFonts w:ascii="Times New Roman" w:hAnsi="Times New Roman"/>
        </w:rPr>
        <w:t xml:space="preserve"> </w:t>
      </w:r>
      <w:proofErr w:type="spellStart"/>
      <w:proofErr w:type="gramStart"/>
      <w:r w:rsidRPr="00004842">
        <w:rPr>
          <w:rFonts w:ascii="Times New Roman" w:hAnsi="Times New Roman"/>
        </w:rPr>
        <w:t>Upah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buruh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perkebunan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tebu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antara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buruh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laki-laki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dan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perempuan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menunjukkan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upah</w:t>
      </w:r>
      <w:proofErr w:type="spellEnd"/>
      <w:r w:rsidRPr="00004842">
        <w:rPr>
          <w:rFonts w:ascii="Times New Roman" w:hAnsi="Times New Roman"/>
        </w:rPr>
        <w:t xml:space="preserve"> yang </w:t>
      </w:r>
      <w:proofErr w:type="spellStart"/>
      <w:r w:rsidRPr="00004842">
        <w:rPr>
          <w:rFonts w:ascii="Times New Roman" w:hAnsi="Times New Roman"/>
        </w:rPr>
        <w:t>variatif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pada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1925 </w:t>
      </w:r>
      <w:proofErr w:type="spellStart"/>
      <w:r w:rsidRPr="00004842">
        <w:rPr>
          <w:rFonts w:ascii="Times New Roman" w:hAnsi="Times New Roman"/>
        </w:rPr>
        <w:t>hingga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1930.</w:t>
      </w:r>
      <w:proofErr w:type="gram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Upah</w:t>
      </w:r>
      <w:proofErr w:type="spellEnd"/>
      <w:r w:rsidRPr="00004842">
        <w:rPr>
          <w:rFonts w:ascii="Times New Roman" w:hAnsi="Times New Roman"/>
        </w:rPr>
        <w:t xml:space="preserve"> yang </w:t>
      </w:r>
      <w:proofErr w:type="spellStart"/>
      <w:r w:rsidRPr="00004842">
        <w:rPr>
          <w:rFonts w:ascii="Times New Roman" w:hAnsi="Times New Roman"/>
        </w:rPr>
        <w:t>ditawarkan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pada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1930 </w:t>
      </w:r>
      <w:proofErr w:type="spellStart"/>
      <w:r w:rsidRPr="00004842">
        <w:rPr>
          <w:rFonts w:ascii="Times New Roman" w:hAnsi="Times New Roman"/>
        </w:rPr>
        <w:t>untuk</w:t>
      </w:r>
      <w:proofErr w:type="spellEnd"/>
      <w:r w:rsidRPr="00004842">
        <w:rPr>
          <w:rFonts w:ascii="Times New Roman" w:hAnsi="Times New Roman"/>
        </w:rPr>
        <w:t xml:space="preserve"> L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>50), P (</w:t>
      </w:r>
      <w:r w:rsidRPr="00004842">
        <w:rPr>
          <w:rFonts w:ascii="Times New Roman" w:hAnsi="Times New Roman"/>
          <w:i/>
        </w:rPr>
        <w:t>f</w:t>
      </w:r>
      <w:r w:rsidRPr="00004842">
        <w:rPr>
          <w:rFonts w:ascii="Times New Roman" w:hAnsi="Times New Roman"/>
        </w:rPr>
        <w:t xml:space="preserve"> 37), 1929 </w:t>
      </w:r>
      <w:proofErr w:type="spellStart"/>
      <w:r w:rsidRPr="00004842">
        <w:rPr>
          <w:rFonts w:ascii="Times New Roman" w:hAnsi="Times New Roman"/>
        </w:rPr>
        <w:t>untuk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buruh</w:t>
      </w:r>
      <w:proofErr w:type="spellEnd"/>
      <w:r w:rsidRPr="00004842">
        <w:rPr>
          <w:rFonts w:ascii="Times New Roman" w:hAnsi="Times New Roman"/>
        </w:rPr>
        <w:t xml:space="preserve"> L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>48), P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 xml:space="preserve">37),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1928 </w:t>
      </w:r>
      <w:proofErr w:type="spellStart"/>
      <w:r w:rsidRPr="00004842">
        <w:rPr>
          <w:rFonts w:ascii="Times New Roman" w:hAnsi="Times New Roman"/>
        </w:rPr>
        <w:t>buruh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laki-laki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senilai</w:t>
      </w:r>
      <w:proofErr w:type="spellEnd"/>
      <w:r w:rsidRPr="00004842">
        <w:rPr>
          <w:rFonts w:ascii="Times New Roman" w:hAnsi="Times New Roman"/>
        </w:rPr>
        <w:t xml:space="preserve">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 xml:space="preserve">47), </w:t>
      </w:r>
      <w:proofErr w:type="spellStart"/>
      <w:r w:rsidRPr="00004842">
        <w:rPr>
          <w:rFonts w:ascii="Times New Roman" w:hAnsi="Times New Roman"/>
        </w:rPr>
        <w:t>dan</w:t>
      </w:r>
      <w:proofErr w:type="spellEnd"/>
      <w:r w:rsidRPr="00004842">
        <w:rPr>
          <w:rFonts w:ascii="Times New Roman" w:hAnsi="Times New Roman"/>
        </w:rPr>
        <w:t xml:space="preserve"> P </w:t>
      </w:r>
      <w:proofErr w:type="spellStart"/>
      <w:r w:rsidRPr="00004842">
        <w:rPr>
          <w:rFonts w:ascii="Times New Roman" w:hAnsi="Times New Roman"/>
        </w:rPr>
        <w:t>senilai</w:t>
      </w:r>
      <w:proofErr w:type="spellEnd"/>
      <w:r w:rsidRPr="00004842">
        <w:rPr>
          <w:rFonts w:ascii="Times New Roman" w:hAnsi="Times New Roman"/>
        </w:rPr>
        <w:t xml:space="preserve">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>35).</w:t>
      </w:r>
      <w:proofErr w:type="spellStart"/>
      <w:r w:rsidRPr="00004842">
        <w:rPr>
          <w:rFonts w:ascii="Times New Roman" w:hAnsi="Times New Roman"/>
        </w:rPr>
        <w:t>Dalam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wilayah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karesidenan</w:t>
      </w:r>
      <w:proofErr w:type="spellEnd"/>
      <w:r w:rsidRPr="00004842">
        <w:rPr>
          <w:rFonts w:ascii="Times New Roman" w:hAnsi="Times New Roman"/>
        </w:rPr>
        <w:t xml:space="preserve"> Surabaya </w:t>
      </w:r>
      <w:proofErr w:type="spellStart"/>
      <w:r w:rsidRPr="00004842">
        <w:rPr>
          <w:rFonts w:ascii="Times New Roman" w:hAnsi="Times New Roman"/>
        </w:rPr>
        <w:t>untuk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dibawah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ini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termasuk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didalamnya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wilayah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  <w:i/>
        </w:rPr>
        <w:t>Afdeeling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Modjokerto</w:t>
      </w:r>
      <w:proofErr w:type="spellEnd"/>
      <w:r w:rsidRPr="00004842">
        <w:rPr>
          <w:rFonts w:ascii="Times New Roman" w:hAnsi="Times New Roman"/>
        </w:rPr>
        <w:t xml:space="preserve">, </w:t>
      </w:r>
      <w:proofErr w:type="spellStart"/>
      <w:r w:rsidRPr="00004842">
        <w:rPr>
          <w:rFonts w:ascii="Times New Roman" w:hAnsi="Times New Roman"/>
        </w:rPr>
        <w:t>Sidoardjo</w:t>
      </w:r>
      <w:proofErr w:type="spellEnd"/>
      <w:r w:rsidRPr="00004842">
        <w:rPr>
          <w:rFonts w:ascii="Times New Roman" w:hAnsi="Times New Roman"/>
        </w:rPr>
        <w:t xml:space="preserve">, </w:t>
      </w:r>
      <w:proofErr w:type="spellStart"/>
      <w:r w:rsidRPr="00004842">
        <w:rPr>
          <w:rFonts w:ascii="Times New Roman" w:hAnsi="Times New Roman"/>
        </w:rPr>
        <w:t>dan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Djombang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upah</w:t>
      </w:r>
      <w:proofErr w:type="spellEnd"/>
      <w:r w:rsidRPr="00004842">
        <w:rPr>
          <w:rFonts w:ascii="Times New Roman" w:hAnsi="Times New Roman"/>
        </w:rPr>
        <w:t xml:space="preserve"> yang </w:t>
      </w:r>
      <w:proofErr w:type="spellStart"/>
      <w:r w:rsidRPr="00004842">
        <w:rPr>
          <w:rFonts w:ascii="Times New Roman" w:hAnsi="Times New Roman"/>
        </w:rPr>
        <w:t>ditawarkan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sebanyak</w:t>
      </w:r>
      <w:proofErr w:type="spellEnd"/>
      <w:r w:rsidRPr="00004842">
        <w:rPr>
          <w:rFonts w:ascii="Times New Roman" w:hAnsi="Times New Roman"/>
        </w:rPr>
        <w:t xml:space="preserve">: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1927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buruh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laki-laki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</w:t>
      </w:r>
      <w:r w:rsidRPr="00004842">
        <w:rPr>
          <w:rFonts w:ascii="Times New Roman" w:hAnsi="Times New Roman"/>
        </w:rPr>
        <w:t>a</w:t>
      </w:r>
      <w:r>
        <w:rPr>
          <w:rFonts w:ascii="Times New Roman" w:hAnsi="Times New Roman"/>
        </w:rPr>
        <w:t>n</w:t>
      </w:r>
      <w:r w:rsidRPr="00004842">
        <w:rPr>
          <w:rFonts w:ascii="Times New Roman" w:hAnsi="Times New Roman"/>
        </w:rPr>
        <w:t>yak</w:t>
      </w:r>
      <w:proofErr w:type="spellEnd"/>
      <w:r w:rsidRPr="00004842">
        <w:rPr>
          <w:rFonts w:ascii="Times New Roman" w:hAnsi="Times New Roman"/>
        </w:rPr>
        <w:t xml:space="preserve">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 xml:space="preserve">47) </w:t>
      </w:r>
      <w:proofErr w:type="spellStart"/>
      <w:r w:rsidRPr="00004842">
        <w:rPr>
          <w:rFonts w:ascii="Times New Roman" w:hAnsi="Times New Roman"/>
        </w:rPr>
        <w:t>dan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perempuan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sekisar</w:t>
      </w:r>
      <w:proofErr w:type="spellEnd"/>
      <w:r w:rsidRPr="00004842">
        <w:rPr>
          <w:rFonts w:ascii="Times New Roman" w:hAnsi="Times New Roman"/>
        </w:rPr>
        <w:t xml:space="preserve">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 xml:space="preserve">35) </w:t>
      </w:r>
      <w:proofErr w:type="spellStart"/>
      <w:r w:rsidRPr="00004842">
        <w:rPr>
          <w:rFonts w:ascii="Times New Roman" w:hAnsi="Times New Roman"/>
        </w:rPr>
        <w:t>dan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untuk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tahun</w:t>
      </w:r>
      <w:proofErr w:type="spellEnd"/>
      <w:r w:rsidRPr="00004842">
        <w:rPr>
          <w:rFonts w:ascii="Times New Roman" w:hAnsi="Times New Roman"/>
        </w:rPr>
        <w:t xml:space="preserve"> 1925 (</w:t>
      </w:r>
      <w:proofErr w:type="spellStart"/>
      <w:r w:rsidRPr="00004842">
        <w:rPr>
          <w:rFonts w:ascii="Times New Roman" w:hAnsi="Times New Roman"/>
        </w:rPr>
        <w:t>laki-laki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sebesar</w:t>
      </w:r>
      <w:proofErr w:type="spellEnd"/>
      <w:r w:rsidRPr="00004842">
        <w:rPr>
          <w:rFonts w:ascii="Times New Roman" w:hAnsi="Times New Roman"/>
        </w:rPr>
        <w:t xml:space="preserve"> 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 xml:space="preserve">46) </w:t>
      </w:r>
      <w:proofErr w:type="spellStart"/>
      <w:r w:rsidRPr="00004842">
        <w:rPr>
          <w:rFonts w:ascii="Times New Roman" w:hAnsi="Times New Roman"/>
        </w:rPr>
        <w:t>dan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buruh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perempuan</w:t>
      </w:r>
      <w:proofErr w:type="spellEnd"/>
      <w:r w:rsidRPr="00004842">
        <w:rPr>
          <w:rFonts w:ascii="Times New Roman" w:hAnsi="Times New Roman"/>
        </w:rPr>
        <w:t xml:space="preserve"> </w:t>
      </w:r>
      <w:proofErr w:type="spellStart"/>
      <w:r w:rsidRPr="00004842">
        <w:rPr>
          <w:rFonts w:ascii="Times New Roman" w:hAnsi="Times New Roman"/>
        </w:rPr>
        <w:t>sebanyak</w:t>
      </w:r>
      <w:proofErr w:type="spellEnd"/>
      <w:r w:rsidRPr="00004842">
        <w:rPr>
          <w:rFonts w:ascii="Times New Roman" w:hAnsi="Times New Roman"/>
        </w:rPr>
        <w:t xml:space="preserve"> (</w:t>
      </w:r>
      <w:r w:rsidRPr="00004842">
        <w:rPr>
          <w:rFonts w:ascii="Times New Roman" w:hAnsi="Times New Roman"/>
          <w:i/>
        </w:rPr>
        <w:t xml:space="preserve">f </w:t>
      </w:r>
      <w:r w:rsidRPr="00004842">
        <w:rPr>
          <w:rFonts w:ascii="Times New Roman" w:hAnsi="Times New Roman"/>
        </w:rPr>
        <w:t xml:space="preserve">34). </w:t>
      </w:r>
      <w:proofErr w:type="spellStart"/>
      <w:r w:rsidRPr="00004842">
        <w:rPr>
          <w:rFonts w:ascii="Times New Roman" w:hAnsi="Times New Roman"/>
        </w:rPr>
        <w:t>Lihat</w:t>
      </w:r>
      <w:proofErr w:type="spellEnd"/>
      <w:r w:rsidRPr="00004842">
        <w:rPr>
          <w:rFonts w:ascii="Times New Roman" w:hAnsi="Times New Roman"/>
        </w:rPr>
        <w:t xml:space="preserve"> </w:t>
      </w:r>
      <w:r w:rsidRPr="00004842">
        <w:rPr>
          <w:rFonts w:ascii="Times New Roman" w:hAnsi="Times New Roman"/>
          <w:i/>
          <w:szCs w:val="24"/>
          <w:lang w:val="en-ID"/>
        </w:rPr>
        <w:t xml:space="preserve">Statistical Abstract </w:t>
      </w:r>
      <w:proofErr w:type="gramStart"/>
      <w:r w:rsidRPr="00004842">
        <w:rPr>
          <w:rFonts w:ascii="Times New Roman" w:hAnsi="Times New Roman"/>
          <w:i/>
          <w:szCs w:val="24"/>
          <w:lang w:val="en-ID"/>
        </w:rPr>
        <w:t>For The</w:t>
      </w:r>
      <w:proofErr w:type="gramEnd"/>
      <w:r w:rsidRPr="00004842">
        <w:rPr>
          <w:rFonts w:ascii="Times New Roman" w:hAnsi="Times New Roman"/>
          <w:i/>
          <w:szCs w:val="24"/>
          <w:lang w:val="en-ID"/>
        </w:rPr>
        <w:t xml:space="preserve"> Netherlands East-Indie, </w:t>
      </w:r>
      <w:proofErr w:type="spellStart"/>
      <w:r w:rsidRPr="00004842">
        <w:rPr>
          <w:rFonts w:ascii="Times New Roman" w:hAnsi="Times New Roman"/>
          <w:szCs w:val="24"/>
          <w:lang w:val="en-ID"/>
        </w:rPr>
        <w:t>dalam</w:t>
      </w:r>
      <w:proofErr w:type="spellEnd"/>
      <w:r w:rsidRPr="00004842">
        <w:rPr>
          <w:rFonts w:ascii="Times New Roman" w:hAnsi="Times New Roman"/>
          <w:i/>
          <w:szCs w:val="24"/>
          <w:lang w:val="en-ID"/>
        </w:rPr>
        <w:t xml:space="preserve"> </w:t>
      </w:r>
      <w:proofErr w:type="spellStart"/>
      <w:r w:rsidRPr="00004842">
        <w:rPr>
          <w:rFonts w:ascii="Times New Roman" w:hAnsi="Times New Roman"/>
          <w:i/>
          <w:szCs w:val="24"/>
          <w:lang w:val="en-ID"/>
        </w:rPr>
        <w:t>Indisch</w:t>
      </w:r>
      <w:proofErr w:type="spellEnd"/>
      <w:r w:rsidRPr="00004842">
        <w:rPr>
          <w:rFonts w:ascii="Times New Roman" w:hAnsi="Times New Roman"/>
          <w:i/>
          <w:szCs w:val="24"/>
          <w:lang w:val="en-ID"/>
        </w:rPr>
        <w:t xml:space="preserve"> </w:t>
      </w:r>
      <w:proofErr w:type="spellStart"/>
      <w:r w:rsidRPr="00004842">
        <w:rPr>
          <w:rFonts w:ascii="Times New Roman" w:hAnsi="Times New Roman"/>
          <w:i/>
          <w:szCs w:val="24"/>
          <w:lang w:val="en-ID"/>
        </w:rPr>
        <w:t>Verslag</w:t>
      </w:r>
      <w:proofErr w:type="spellEnd"/>
      <w:r w:rsidRPr="00004842">
        <w:rPr>
          <w:rFonts w:ascii="Times New Roman" w:hAnsi="Times New Roman"/>
          <w:i/>
          <w:szCs w:val="24"/>
          <w:lang w:val="en-ID"/>
        </w:rPr>
        <w:t xml:space="preserve">, </w:t>
      </w:r>
      <w:r w:rsidRPr="00004842">
        <w:rPr>
          <w:rFonts w:ascii="Times New Roman" w:hAnsi="Times New Roman"/>
          <w:szCs w:val="24"/>
          <w:lang w:val="en-ID"/>
        </w:rPr>
        <w:t>1930:220).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1DE4"/>
    <w:multiLevelType w:val="hybridMultilevel"/>
    <w:tmpl w:val="9828BDD8"/>
    <w:lvl w:ilvl="0" w:tplc="4CBC5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B1772E"/>
    <w:multiLevelType w:val="hybridMultilevel"/>
    <w:tmpl w:val="C632F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37ADF"/>
    <w:multiLevelType w:val="hybridMultilevel"/>
    <w:tmpl w:val="A1BE7030"/>
    <w:lvl w:ilvl="0" w:tplc="79C040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D4"/>
    <w:rsid w:val="000C1350"/>
    <w:rsid w:val="001D7624"/>
    <w:rsid w:val="00210FF8"/>
    <w:rsid w:val="00274CEF"/>
    <w:rsid w:val="00285FF1"/>
    <w:rsid w:val="002C05A7"/>
    <w:rsid w:val="005E2835"/>
    <w:rsid w:val="00726B94"/>
    <w:rsid w:val="00730A04"/>
    <w:rsid w:val="00A635D4"/>
    <w:rsid w:val="00E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35D4"/>
    <w:pPr>
      <w:ind w:left="720"/>
      <w:contextualSpacing/>
    </w:pPr>
  </w:style>
  <w:style w:type="paragraph" w:styleId="FootnoteText">
    <w:name w:val="footnote text"/>
    <w:aliases w:val="Char Char, Char Char"/>
    <w:basedOn w:val="Normal"/>
    <w:link w:val="FootnoteTextChar"/>
    <w:uiPriority w:val="99"/>
    <w:unhideWhenUsed/>
    <w:rsid w:val="00A635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Char Char Char, Char Char Char"/>
    <w:basedOn w:val="DefaultParagraphFont"/>
    <w:link w:val="FootnoteText"/>
    <w:uiPriority w:val="99"/>
    <w:rsid w:val="00A635D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635D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635D4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3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35D4"/>
    <w:pPr>
      <w:ind w:left="720"/>
      <w:contextualSpacing/>
    </w:pPr>
  </w:style>
  <w:style w:type="paragraph" w:styleId="FootnoteText">
    <w:name w:val="footnote text"/>
    <w:aliases w:val="Char Char, Char Char"/>
    <w:basedOn w:val="Normal"/>
    <w:link w:val="FootnoteTextChar"/>
    <w:uiPriority w:val="99"/>
    <w:unhideWhenUsed/>
    <w:rsid w:val="00A635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Char Char Char, Char Char Char"/>
    <w:basedOn w:val="DefaultParagraphFont"/>
    <w:link w:val="FootnoteText"/>
    <w:uiPriority w:val="99"/>
    <w:rsid w:val="00A635D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635D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635D4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32BA-EECF-46BD-A2A2-2F76512E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2021-08-03T01:21:00Z</dcterms:created>
  <dcterms:modified xsi:type="dcterms:W3CDTF">2021-08-03T02:07:00Z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